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3E" w:rsidRDefault="00874B4E">
      <w:r>
        <w:rPr>
          <w:noProof/>
        </w:rPr>
        <w:pict>
          <v:shapetype id="_x0000_t202" coordsize="21600,21600" o:spt="202" path="m,l,21600r21600,l21600,xe">
            <v:stroke joinstyle="miter"/>
            <v:path gradientshapeok="t" o:connecttype="rect"/>
          </v:shapetype>
          <v:shape id="_x0000_s1029" type="#_x0000_t202" style="position:absolute;margin-left:-6pt;margin-top:59.65pt;width:83.45pt;height:27.9pt;z-index:251657216;mso-wrap-style:none;v-text-anchor:top-baseline" filled="f" fillcolor="#bbe0e3" stroked="f">
            <v:textbox style="mso-fit-shape-to-text:t">
              <w:txbxContent>
                <w:p w:rsidR="00531A9D" w:rsidRPr="000B22DF" w:rsidRDefault="00D413D2" w:rsidP="00531A9D">
                  <w:pPr>
                    <w:autoSpaceDE w:val="0"/>
                    <w:autoSpaceDN w:val="0"/>
                    <w:adjustRightInd w:val="0"/>
                    <w:rPr>
                      <w:rFonts w:ascii="Arial" w:hAnsi="Arial" w:cs="Arial"/>
                      <w:b/>
                      <w:bCs/>
                      <w:color w:val="003399"/>
                      <w:sz w:val="20"/>
                      <w:szCs w:val="20"/>
                    </w:rPr>
                  </w:pPr>
                  <w:r>
                    <w:rPr>
                      <w:rFonts w:ascii="Arial" w:hAnsi="Arial" w:cs="Arial"/>
                      <w:b/>
                      <w:bCs/>
                      <w:color w:val="003399"/>
                      <w:sz w:val="20"/>
                      <w:szCs w:val="20"/>
                    </w:rPr>
                    <w:t>Brent Cole</w:t>
                  </w:r>
                </w:p>
                <w:p w:rsidR="00E52082" w:rsidRDefault="000B22DF" w:rsidP="00531A9D">
                  <w:pPr>
                    <w:autoSpaceDE w:val="0"/>
                    <w:autoSpaceDN w:val="0"/>
                    <w:adjustRightInd w:val="0"/>
                    <w:rPr>
                      <w:rFonts w:ascii="Arial" w:hAnsi="Arial" w:cs="Arial"/>
                      <w:b/>
                      <w:bCs/>
                      <w:color w:val="003399"/>
                      <w:sz w:val="18"/>
                      <w:szCs w:val="18"/>
                    </w:rPr>
                  </w:pPr>
                  <w:r>
                    <w:rPr>
                      <w:rFonts w:ascii="Arial" w:hAnsi="Arial" w:cs="Arial"/>
                      <w:b/>
                      <w:bCs/>
                      <w:color w:val="003399"/>
                      <w:sz w:val="18"/>
                      <w:szCs w:val="18"/>
                    </w:rPr>
                    <w:t>Secondary</w:t>
                  </w:r>
                  <w:r w:rsidR="00E52082">
                    <w:rPr>
                      <w:rFonts w:ascii="Arial" w:hAnsi="Arial" w:cs="Arial"/>
                      <w:b/>
                      <w:bCs/>
                      <w:color w:val="003399"/>
                      <w:sz w:val="18"/>
                      <w:szCs w:val="18"/>
                    </w:rPr>
                    <w:t xml:space="preserve"> Principal</w:t>
                  </w:r>
                </w:p>
                <w:p w:rsidR="000B22DF" w:rsidRDefault="000B22DF" w:rsidP="00531A9D">
                  <w:pPr>
                    <w:autoSpaceDE w:val="0"/>
                    <w:autoSpaceDN w:val="0"/>
                    <w:adjustRightInd w:val="0"/>
                    <w:rPr>
                      <w:rFonts w:ascii="Arial" w:hAnsi="Arial" w:cs="Arial"/>
                      <w:b/>
                      <w:bCs/>
                      <w:color w:val="003399"/>
                      <w:sz w:val="18"/>
                      <w:szCs w:val="18"/>
                    </w:rPr>
                  </w:pPr>
                </w:p>
                <w:p w:rsidR="000B22DF" w:rsidRPr="00157787" w:rsidRDefault="000B22DF" w:rsidP="00531A9D">
                  <w:pPr>
                    <w:autoSpaceDE w:val="0"/>
                    <w:autoSpaceDN w:val="0"/>
                    <w:adjustRightInd w:val="0"/>
                    <w:rPr>
                      <w:rFonts w:ascii="Arial" w:hAnsi="Arial" w:cs="Arial"/>
                      <w:b/>
                      <w:bCs/>
                      <w:color w:val="003399"/>
                      <w:sz w:val="20"/>
                      <w:szCs w:val="20"/>
                    </w:rPr>
                  </w:pPr>
                  <w:r w:rsidRPr="00157787">
                    <w:rPr>
                      <w:rFonts w:ascii="Arial" w:hAnsi="Arial" w:cs="Arial"/>
                      <w:b/>
                      <w:bCs/>
                      <w:color w:val="003399"/>
                      <w:sz w:val="20"/>
                      <w:szCs w:val="20"/>
                    </w:rPr>
                    <w:t>Kevin Herendeen</w:t>
                  </w:r>
                </w:p>
                <w:p w:rsidR="000B22DF" w:rsidRDefault="000B22DF" w:rsidP="00531A9D">
                  <w:pPr>
                    <w:autoSpaceDE w:val="0"/>
                    <w:autoSpaceDN w:val="0"/>
                    <w:adjustRightInd w:val="0"/>
                    <w:rPr>
                      <w:rFonts w:ascii="Arial" w:hAnsi="Arial" w:cs="Arial"/>
                      <w:b/>
                      <w:bCs/>
                      <w:color w:val="003399"/>
                      <w:sz w:val="18"/>
                      <w:szCs w:val="18"/>
                    </w:rPr>
                  </w:pPr>
                  <w:r>
                    <w:rPr>
                      <w:rFonts w:ascii="Arial" w:hAnsi="Arial" w:cs="Arial"/>
                      <w:b/>
                      <w:bCs/>
                      <w:color w:val="003399"/>
                      <w:sz w:val="18"/>
                      <w:szCs w:val="18"/>
                    </w:rPr>
                    <w:t>Athletic Director</w:t>
                  </w:r>
                </w:p>
                <w:p w:rsidR="000B22DF" w:rsidRDefault="000B22DF" w:rsidP="00531A9D">
                  <w:pPr>
                    <w:autoSpaceDE w:val="0"/>
                    <w:autoSpaceDN w:val="0"/>
                    <w:adjustRightInd w:val="0"/>
                    <w:rPr>
                      <w:rFonts w:ascii="Arial" w:hAnsi="Arial" w:cs="Arial"/>
                      <w:b/>
                      <w:bCs/>
                      <w:color w:val="003399"/>
                      <w:sz w:val="18"/>
                      <w:szCs w:val="18"/>
                    </w:rPr>
                  </w:pPr>
                  <w:r>
                    <w:rPr>
                      <w:rFonts w:ascii="Arial" w:hAnsi="Arial" w:cs="Arial"/>
                      <w:b/>
                      <w:bCs/>
                      <w:color w:val="003399"/>
                      <w:sz w:val="18"/>
                      <w:szCs w:val="18"/>
                    </w:rPr>
                    <w:t>Dean of Students</w:t>
                  </w:r>
                </w:p>
                <w:p w:rsidR="000B22DF" w:rsidRDefault="000B22DF" w:rsidP="00531A9D">
                  <w:pPr>
                    <w:autoSpaceDE w:val="0"/>
                    <w:autoSpaceDN w:val="0"/>
                    <w:adjustRightInd w:val="0"/>
                    <w:rPr>
                      <w:rFonts w:ascii="Arial" w:hAnsi="Arial" w:cs="Arial"/>
                      <w:b/>
                      <w:bCs/>
                      <w:color w:val="003399"/>
                      <w:sz w:val="18"/>
                      <w:szCs w:val="18"/>
                    </w:rPr>
                  </w:pPr>
                </w:p>
              </w:txbxContent>
            </v:textbox>
          </v:shape>
        </w:pict>
      </w:r>
      <w:r>
        <w:pict>
          <v:group id="_x0000_s1035" editas="canvas" style="width:539.7pt;height:102.2pt;mso-position-horizontal-relative:char;mso-position-vertical-relative:line" coordorigin="576,720" coordsize="10794,2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76;top:720;width:10794;height:2044" o:preferrelative="f">
              <v:fill o:detectmouseclick="t"/>
              <v:path o:extrusionok="t" o:connecttype="none"/>
              <o:lock v:ext="edit" text="t"/>
            </v:shape>
            <v:shape id="_x0000_s1026" type="#_x0000_t75" style="position:absolute;left:2281;top:840;width:1201;height:1921">
              <v:imagedata r:id="rId6" o:title="EJ diamond blue"/>
            </v:shape>
            <v:line id="_x0000_s1027" style="position:absolute" from="601,1800" to="2281,1800" strokecolor="navy"/>
            <v:line id="_x0000_s1028" style="position:absolute" from="3482,1800" to="10320,1800" strokecolor="navy"/>
            <v:shape id="_x0000_s1030" type="#_x0000_t202" style="position:absolute;left:3601;top:1999;width:7490;height:765;v-text-anchor:top-baseline" filled="f" fillcolor="#bbe0e3" stroked="f">
              <v:textbox>
                <w:txbxContent>
                  <w:p w:rsidR="00531A9D" w:rsidRDefault="00E52082" w:rsidP="00531A9D">
                    <w:pPr>
                      <w:autoSpaceDE w:val="0"/>
                      <w:autoSpaceDN w:val="0"/>
                      <w:adjustRightInd w:val="0"/>
                      <w:rPr>
                        <w:rFonts w:ascii="Arial" w:hAnsi="Arial" w:cs="Arial"/>
                        <w:b/>
                        <w:bCs/>
                        <w:color w:val="003399"/>
                        <w:sz w:val="18"/>
                        <w:szCs w:val="18"/>
                      </w:rPr>
                    </w:pPr>
                    <w:r>
                      <w:rPr>
                        <w:rFonts w:ascii="Arial" w:hAnsi="Arial" w:cs="Arial"/>
                        <w:b/>
                        <w:bCs/>
                        <w:color w:val="003399"/>
                        <w:sz w:val="18"/>
                        <w:szCs w:val="18"/>
                      </w:rPr>
                      <w:t>1566</w:t>
                    </w:r>
                    <w:r w:rsidR="00531A9D">
                      <w:rPr>
                        <w:rFonts w:ascii="Arial" w:hAnsi="Arial" w:cs="Arial"/>
                        <w:b/>
                        <w:bCs/>
                        <w:color w:val="003399"/>
                        <w:sz w:val="18"/>
                        <w:szCs w:val="18"/>
                      </w:rPr>
                      <w:t xml:space="preserve"> N. Sutton Road            </w:t>
                    </w:r>
                    <w:r w:rsidR="000B22DF">
                      <w:rPr>
                        <w:rFonts w:ascii="Arial" w:hAnsi="Arial" w:cs="Arial"/>
                        <w:b/>
                        <w:bCs/>
                        <w:color w:val="003399"/>
                        <w:sz w:val="18"/>
                        <w:szCs w:val="18"/>
                      </w:rPr>
                      <w:tab/>
                    </w:r>
                    <w:r w:rsidR="000B22DF">
                      <w:rPr>
                        <w:rFonts w:ascii="Arial" w:hAnsi="Arial" w:cs="Arial"/>
                        <w:b/>
                        <w:bCs/>
                        <w:color w:val="003399"/>
                        <w:sz w:val="18"/>
                        <w:szCs w:val="18"/>
                      </w:rPr>
                      <w:tab/>
                    </w:r>
                    <w:r w:rsidR="000B22DF">
                      <w:rPr>
                        <w:rFonts w:ascii="Arial" w:hAnsi="Arial" w:cs="Arial"/>
                        <w:b/>
                        <w:bCs/>
                        <w:color w:val="003399"/>
                        <w:sz w:val="18"/>
                        <w:szCs w:val="18"/>
                      </w:rPr>
                      <w:tab/>
                      <w:t xml:space="preserve">  </w:t>
                    </w:r>
                    <w:r w:rsidR="00531A9D">
                      <w:rPr>
                        <w:rFonts w:ascii="Arial" w:hAnsi="Arial" w:cs="Arial"/>
                        <w:b/>
                        <w:bCs/>
                        <w:color w:val="003399"/>
                        <w:sz w:val="18"/>
                        <w:szCs w:val="18"/>
                      </w:rPr>
                      <w:t xml:space="preserve">           (517) 764-</w:t>
                    </w:r>
                    <w:r>
                      <w:rPr>
                        <w:rFonts w:ascii="Arial" w:hAnsi="Arial" w:cs="Arial"/>
                        <w:b/>
                        <w:bCs/>
                        <w:color w:val="003399"/>
                        <w:sz w:val="18"/>
                        <w:szCs w:val="18"/>
                      </w:rPr>
                      <w:t>1700</w:t>
                    </w:r>
                  </w:p>
                  <w:p w:rsidR="00531A9D" w:rsidRDefault="000B22DF" w:rsidP="00531A9D">
                    <w:pPr>
                      <w:autoSpaceDE w:val="0"/>
                      <w:autoSpaceDN w:val="0"/>
                      <w:adjustRightInd w:val="0"/>
                      <w:rPr>
                        <w:rFonts w:ascii="Arial" w:hAnsi="Arial" w:cs="Arial"/>
                        <w:b/>
                        <w:bCs/>
                        <w:color w:val="003399"/>
                        <w:sz w:val="18"/>
                        <w:szCs w:val="18"/>
                      </w:rPr>
                    </w:pPr>
                    <w:r>
                      <w:rPr>
                        <w:rFonts w:ascii="Arial" w:hAnsi="Arial" w:cs="Arial"/>
                        <w:b/>
                        <w:bCs/>
                        <w:color w:val="003399"/>
                        <w:sz w:val="18"/>
                        <w:szCs w:val="18"/>
                      </w:rPr>
                      <w:t>Jackson, MI 49202</w:t>
                    </w:r>
                    <w:r w:rsidR="00531A9D">
                      <w:rPr>
                        <w:rFonts w:ascii="Arial" w:hAnsi="Arial" w:cs="Arial"/>
                        <w:b/>
                        <w:bCs/>
                        <w:color w:val="003399"/>
                        <w:sz w:val="18"/>
                        <w:szCs w:val="18"/>
                      </w:rPr>
                      <w:tab/>
                      <w:t xml:space="preserve">           </w:t>
                    </w:r>
                    <w:r w:rsidR="0050415C">
                      <w:rPr>
                        <w:rFonts w:ascii="Arial" w:hAnsi="Arial" w:cs="Arial"/>
                        <w:b/>
                        <w:bCs/>
                        <w:color w:val="003399"/>
                        <w:sz w:val="18"/>
                        <w:szCs w:val="18"/>
                      </w:rPr>
                      <w:t xml:space="preserve">                                           </w:t>
                    </w:r>
                    <w:r>
                      <w:rPr>
                        <w:rFonts w:ascii="Arial" w:hAnsi="Arial" w:cs="Arial"/>
                        <w:b/>
                        <w:bCs/>
                        <w:color w:val="003399"/>
                        <w:sz w:val="18"/>
                        <w:szCs w:val="18"/>
                      </w:rPr>
                      <w:t xml:space="preserve">  </w:t>
                    </w:r>
                    <w:proofErr w:type="gramStart"/>
                    <w:r>
                      <w:rPr>
                        <w:rFonts w:ascii="Arial" w:hAnsi="Arial" w:cs="Arial"/>
                        <w:b/>
                        <w:bCs/>
                        <w:color w:val="003399"/>
                        <w:sz w:val="18"/>
                        <w:szCs w:val="18"/>
                      </w:rPr>
                      <w:t>FAX  (</w:t>
                    </w:r>
                    <w:proofErr w:type="gramEnd"/>
                    <w:r>
                      <w:rPr>
                        <w:rFonts w:ascii="Arial" w:hAnsi="Arial" w:cs="Arial"/>
                        <w:b/>
                        <w:bCs/>
                        <w:color w:val="003399"/>
                        <w:sz w:val="18"/>
                        <w:szCs w:val="18"/>
                      </w:rPr>
                      <w:t>517) 764-</w:t>
                    </w:r>
                    <w:r w:rsidR="00E52082">
                      <w:rPr>
                        <w:rFonts w:ascii="Arial" w:hAnsi="Arial" w:cs="Arial"/>
                        <w:b/>
                        <w:bCs/>
                        <w:color w:val="003399"/>
                        <w:sz w:val="18"/>
                        <w:szCs w:val="18"/>
                      </w:rPr>
                      <w:t>6505</w:t>
                    </w:r>
                  </w:p>
                </w:txbxContent>
              </v:textbox>
            </v:shape>
            <v:shape id="_x0000_s1031" type="#_x0000_t202" style="position:absolute;left:3601;top:888;width:5190;height:433;mso-wrap-style:none;v-text-anchor:top-baseline" filled="f" fillcolor="#bbe0e3" stroked="f">
              <v:textbox style="mso-fit-shape-to-text:t">
                <w:txbxContent>
                  <w:p w:rsidR="00531A9D" w:rsidRDefault="00531A9D" w:rsidP="00531A9D">
                    <w:pPr>
                      <w:autoSpaceDE w:val="0"/>
                      <w:autoSpaceDN w:val="0"/>
                      <w:adjustRightInd w:val="0"/>
                      <w:rPr>
                        <w:rFonts w:ascii="Century" w:hAnsi="Century" w:cs="Century"/>
                        <w:b/>
                        <w:bCs/>
                        <w:color w:val="003399"/>
                      </w:rPr>
                    </w:pPr>
                    <w:r>
                      <w:rPr>
                        <w:rFonts w:ascii="Century" w:hAnsi="Century" w:cs="Century"/>
                        <w:b/>
                        <w:bCs/>
                        <w:color w:val="003399"/>
                      </w:rPr>
                      <w:t>EAST JACKSON COMMUNITY SCHOOLS</w:t>
                    </w:r>
                  </w:p>
                </w:txbxContent>
              </v:textbox>
            </v:shape>
            <v:shape id="_x0000_s1032" type="#_x0000_t202" style="position:absolute;left:5280;top:720;width:481;height:559;mso-wrap-style:none;v-text-anchor:top-baseline" filled="f" fillcolor="#bbe0e3" stroked="f">
              <v:textbox style="mso-fit-shape-to-text:t">
                <w:txbxContent>
                  <w:p w:rsidR="00531A9D" w:rsidRDefault="00531A9D" w:rsidP="00531A9D">
                    <w:pPr>
                      <w:autoSpaceDE w:val="0"/>
                      <w:autoSpaceDN w:val="0"/>
                      <w:adjustRightInd w:val="0"/>
                      <w:rPr>
                        <w:rFonts w:ascii="Arial" w:hAnsi="Arial" w:cs="Arial"/>
                        <w:color w:val="000000"/>
                        <w:sz w:val="36"/>
                        <w:szCs w:val="36"/>
                      </w:rPr>
                    </w:pPr>
                  </w:p>
                </w:txbxContent>
              </v:textbox>
            </v:shape>
            <v:shape id="_x0000_s1033" type="#_x0000_t202" style="position:absolute;left:4155;top:1268;width:3750;height:481;mso-wrap-style:none;v-text-anchor:top-baseline" filled="f" fillcolor="#bbe0e3" stroked="f">
              <v:textbox style="mso-fit-shape-to-text:t">
                <w:txbxContent>
                  <w:p w:rsidR="00531A9D" w:rsidRPr="00AE6144" w:rsidRDefault="00E52082" w:rsidP="00531A9D">
                    <w:pPr>
                      <w:autoSpaceDE w:val="0"/>
                      <w:autoSpaceDN w:val="0"/>
                      <w:adjustRightInd w:val="0"/>
                      <w:rPr>
                        <w:rFonts w:ascii="Century" w:hAnsi="Century" w:cs="Century"/>
                        <w:b/>
                        <w:bCs/>
                        <w:color w:val="003399"/>
                        <w:sz w:val="28"/>
                        <w:szCs w:val="28"/>
                      </w:rPr>
                    </w:pPr>
                    <w:r w:rsidRPr="00AE6144">
                      <w:rPr>
                        <w:rFonts w:ascii="Century" w:hAnsi="Century" w:cs="Century"/>
                        <w:b/>
                        <w:bCs/>
                        <w:color w:val="003399"/>
                        <w:sz w:val="28"/>
                        <w:szCs w:val="28"/>
                      </w:rPr>
                      <w:t>High School/Middle School</w:t>
                    </w:r>
                  </w:p>
                </w:txbxContent>
              </v:textbox>
            </v:shape>
            <w10:wrap type="none"/>
            <w10:anchorlock/>
          </v:group>
        </w:pict>
      </w:r>
    </w:p>
    <w:p w:rsidR="0080753B" w:rsidRDefault="0080753B"/>
    <w:p w:rsidR="0080753B" w:rsidRDefault="0080753B"/>
    <w:p w:rsidR="003F7E0B" w:rsidRDefault="003F7E0B"/>
    <w:p w:rsidR="00400A93" w:rsidRDefault="00400A93"/>
    <w:p w:rsidR="00400A93" w:rsidRDefault="00400A93"/>
    <w:p w:rsidR="00400A93" w:rsidRDefault="00400A93">
      <w:r w:rsidRPr="00251ADB">
        <w:rPr>
          <w:highlight w:val="yellow"/>
        </w:rPr>
        <w:t>DATE</w:t>
      </w:r>
      <w:r w:rsidR="000337B2">
        <w:t>: February 28</w:t>
      </w:r>
      <w:r w:rsidR="00115770">
        <w:t>, 2014</w:t>
      </w:r>
    </w:p>
    <w:p w:rsidR="00400A93" w:rsidRDefault="00400A93"/>
    <w:p w:rsidR="00400A93" w:rsidRDefault="00400A93">
      <w:r>
        <w:t>Dear Student,</w:t>
      </w:r>
    </w:p>
    <w:p w:rsidR="00400A93" w:rsidRDefault="00400A93"/>
    <w:p w:rsidR="00400A93" w:rsidRDefault="00400A93">
      <w:r>
        <w:t>Effective April 1, 1996, Public Act 160 and Public Act 258 of 2000, created the Postsecondary Enrollment Options Act, commonly referred to as dual enrollment.</w:t>
      </w:r>
      <w:r w:rsidR="006C6407">
        <w:t xml:space="preserve"> This law directs school districts to assist students in paying tuition and fees for courses at Michigan public or private colleges or universities. The following are some of the eligibility guidelines/standards:</w:t>
      </w:r>
    </w:p>
    <w:p w:rsidR="006C6407" w:rsidRDefault="006C6407"/>
    <w:p w:rsidR="006C6407" w:rsidRDefault="00F77A80" w:rsidP="006C6407">
      <w:pPr>
        <w:pStyle w:val="ListParagraph"/>
        <w:numPr>
          <w:ilvl w:val="0"/>
          <w:numId w:val="4"/>
        </w:numPr>
      </w:pPr>
      <w:r>
        <w:t>Students in grade 11 or in grade 12.</w:t>
      </w:r>
    </w:p>
    <w:p w:rsidR="006C6407" w:rsidRPr="006C6407" w:rsidRDefault="006C6407" w:rsidP="006C6407">
      <w:pPr>
        <w:pStyle w:val="ListParagraph"/>
        <w:numPr>
          <w:ilvl w:val="0"/>
          <w:numId w:val="4"/>
        </w:numPr>
      </w:pPr>
      <w:r>
        <w:t xml:space="preserve">Students can qualify for dual enrollment by taking one of the following assessments: PSAT, PLAN, EXPLORE, ACT, or MME. </w:t>
      </w:r>
      <w:r w:rsidR="00691E94">
        <w:t>Students must meet qualifying scores on these test to determine if they are eligible to participate in the dual enrollment program.</w:t>
      </w:r>
      <w:r>
        <w:t xml:space="preserve"> </w:t>
      </w:r>
    </w:p>
    <w:p w:rsidR="006C6407" w:rsidRDefault="006C6407" w:rsidP="006C6407">
      <w:pPr>
        <w:pStyle w:val="ListParagraph"/>
        <w:numPr>
          <w:ilvl w:val="0"/>
          <w:numId w:val="4"/>
        </w:numPr>
      </w:pPr>
      <w:r w:rsidRPr="006C6407">
        <w:t xml:space="preserve">388.155 </w:t>
      </w:r>
      <w:r>
        <w:t xml:space="preserve">Rule 5 (2) </w:t>
      </w:r>
      <w:proofErr w:type="gramStart"/>
      <w:r>
        <w:t>The</w:t>
      </w:r>
      <w:proofErr w:type="gramEnd"/>
      <w:r>
        <w:t xml:space="preserve"> acts do not prohibit a district from supporting any pupil regardless of eligibility under these acts. A district may elect to support college level courses or career preparation courses for any pupil if it is in the best interest of the pupil.</w:t>
      </w:r>
    </w:p>
    <w:p w:rsidR="006C6407" w:rsidRDefault="00BA104E" w:rsidP="006C6407">
      <w:pPr>
        <w:pStyle w:val="ListParagraph"/>
        <w:numPr>
          <w:ilvl w:val="0"/>
          <w:numId w:val="4"/>
        </w:numPr>
      </w:pPr>
      <w:r>
        <w:t>Students must be enrolled in both the eligible school (public or private) and eligible postsecondary institution during the local school’s regular academic year and must be enrolled in at least one high school class.</w:t>
      </w:r>
    </w:p>
    <w:p w:rsidR="00BA104E" w:rsidRDefault="00BA104E" w:rsidP="006C6407">
      <w:pPr>
        <w:pStyle w:val="ListParagraph"/>
        <w:numPr>
          <w:ilvl w:val="0"/>
          <w:numId w:val="4"/>
        </w:numPr>
      </w:pPr>
      <w:r>
        <w:t>The college courses cannot be a hobby, craft, or recreation course</w:t>
      </w:r>
      <w:r w:rsidR="00D27324">
        <w:t>, or in the subject areas of phy</w:t>
      </w:r>
      <w:r>
        <w:t>sical education, theology, divinity, or religious education.</w:t>
      </w:r>
    </w:p>
    <w:p w:rsidR="00BA104E" w:rsidRPr="00423FCB" w:rsidRDefault="00D27324" w:rsidP="006C6407">
      <w:pPr>
        <w:pStyle w:val="ListParagraph"/>
        <w:numPr>
          <w:ilvl w:val="0"/>
          <w:numId w:val="4"/>
        </w:numPr>
      </w:pPr>
      <w:r>
        <w:t xml:space="preserve">School districts are required to pay an amount equal to the prorated percentage of the statewide pupil weighted average foundation allowance, based on the proportion of the school year that the eligible student attends the eligible postsecondary institution. Eligible charges include tuition and mandatory course fees, material fees, and registration fees required by an eligible institution for enrollment in the course. </w:t>
      </w:r>
      <w:r w:rsidRPr="00D27324">
        <w:rPr>
          <w:i/>
        </w:rPr>
        <w:t>Eligible</w:t>
      </w:r>
      <w:r>
        <w:t xml:space="preserve"> </w:t>
      </w:r>
      <w:r w:rsidRPr="00D27324">
        <w:rPr>
          <w:i/>
        </w:rPr>
        <w:t>charges do not include transportation or parking costs or activity fees.</w:t>
      </w:r>
    </w:p>
    <w:p w:rsidR="00423FCB" w:rsidRDefault="00423FCB" w:rsidP="006C6407">
      <w:pPr>
        <w:pStyle w:val="ListParagraph"/>
        <w:numPr>
          <w:ilvl w:val="0"/>
          <w:numId w:val="4"/>
        </w:numPr>
      </w:pPr>
      <w:r>
        <w:t>Students who fail or drop a dual enrollment course will be responsible for payment of all tuition and fees.</w:t>
      </w:r>
    </w:p>
    <w:p w:rsidR="00D27324" w:rsidRDefault="00D27324" w:rsidP="00D27324"/>
    <w:p w:rsidR="00D27324" w:rsidRDefault="00D27324" w:rsidP="00D27324">
      <w:r>
        <w:t>Please review the contents of this letter with your parents. If you believe you are eligible for dual enrollment, qualify for tuition and fee support, and wish to participate, contact Mr. Scott Fowler, EJHS Guidance Counselor.</w:t>
      </w:r>
    </w:p>
    <w:p w:rsidR="00D27324" w:rsidRDefault="00D27324" w:rsidP="00D27324"/>
    <w:p w:rsidR="00D27324" w:rsidRDefault="00D27324" w:rsidP="00D27324">
      <w:r>
        <w:t>Sincerely,</w:t>
      </w:r>
    </w:p>
    <w:p w:rsidR="00D27324" w:rsidRDefault="00D27324" w:rsidP="00D27324"/>
    <w:p w:rsidR="00D27324" w:rsidRDefault="00D27324" w:rsidP="00D27324"/>
    <w:p w:rsidR="00D27324" w:rsidRDefault="00D27324" w:rsidP="00D27324">
      <w:r>
        <w:t>Brent Cole</w:t>
      </w:r>
    </w:p>
    <w:p w:rsidR="00D27324" w:rsidRPr="006C6407" w:rsidRDefault="00D27324" w:rsidP="00D27324">
      <w:r>
        <w:t>Principal</w:t>
      </w:r>
    </w:p>
    <w:p w:rsidR="006C6407" w:rsidRDefault="006C6407"/>
    <w:sectPr w:rsidR="006C6407" w:rsidSect="00DC4613">
      <w:pgSz w:w="12240" w:h="15840"/>
      <w:pgMar w:top="720" w:right="720" w:bottom="720" w:left="720" w:header="720" w:footer="720" w:gutter="0"/>
      <w:paperSrc w:first="4" w:other="4"/>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40D2"/>
    <w:multiLevelType w:val="hybridMultilevel"/>
    <w:tmpl w:val="01D0C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46E1A"/>
    <w:multiLevelType w:val="hybridMultilevel"/>
    <w:tmpl w:val="15D4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D06CA"/>
    <w:multiLevelType w:val="hybridMultilevel"/>
    <w:tmpl w:val="61B86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56846"/>
    <w:multiLevelType w:val="hybridMultilevel"/>
    <w:tmpl w:val="05EEC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C15B3E"/>
    <w:rsid w:val="00011F7B"/>
    <w:rsid w:val="000337B2"/>
    <w:rsid w:val="000668D4"/>
    <w:rsid w:val="000B22DF"/>
    <w:rsid w:val="000D1547"/>
    <w:rsid w:val="000E7E32"/>
    <w:rsid w:val="000F4F30"/>
    <w:rsid w:val="000F7BB6"/>
    <w:rsid w:val="001030C6"/>
    <w:rsid w:val="00115770"/>
    <w:rsid w:val="00135A20"/>
    <w:rsid w:val="00155774"/>
    <w:rsid w:val="00157787"/>
    <w:rsid w:val="00177C70"/>
    <w:rsid w:val="00185A6E"/>
    <w:rsid w:val="001A2A75"/>
    <w:rsid w:val="001A671D"/>
    <w:rsid w:val="001B4838"/>
    <w:rsid w:val="001D32AC"/>
    <w:rsid w:val="001D55C8"/>
    <w:rsid w:val="0020203B"/>
    <w:rsid w:val="002346B6"/>
    <w:rsid w:val="00235BAB"/>
    <w:rsid w:val="00251ADB"/>
    <w:rsid w:val="00273064"/>
    <w:rsid w:val="00274829"/>
    <w:rsid w:val="003A5B8A"/>
    <w:rsid w:val="003B5CA5"/>
    <w:rsid w:val="003C79F5"/>
    <w:rsid w:val="003F7E0B"/>
    <w:rsid w:val="00400A93"/>
    <w:rsid w:val="0040107D"/>
    <w:rsid w:val="00403106"/>
    <w:rsid w:val="004144A0"/>
    <w:rsid w:val="00423FCB"/>
    <w:rsid w:val="004641D4"/>
    <w:rsid w:val="0047452E"/>
    <w:rsid w:val="00474AB2"/>
    <w:rsid w:val="00480B8F"/>
    <w:rsid w:val="004F6C54"/>
    <w:rsid w:val="005019B3"/>
    <w:rsid w:val="0050415C"/>
    <w:rsid w:val="00510395"/>
    <w:rsid w:val="0052645F"/>
    <w:rsid w:val="00531A9D"/>
    <w:rsid w:val="005437A5"/>
    <w:rsid w:val="00613E1B"/>
    <w:rsid w:val="00622884"/>
    <w:rsid w:val="00691E94"/>
    <w:rsid w:val="006973D9"/>
    <w:rsid w:val="006C6407"/>
    <w:rsid w:val="006E1260"/>
    <w:rsid w:val="006F5B1D"/>
    <w:rsid w:val="00776AA3"/>
    <w:rsid w:val="007A6512"/>
    <w:rsid w:val="007C6A40"/>
    <w:rsid w:val="007D2448"/>
    <w:rsid w:val="007D342F"/>
    <w:rsid w:val="00803DFC"/>
    <w:rsid w:val="0080753B"/>
    <w:rsid w:val="00832FF5"/>
    <w:rsid w:val="0085598F"/>
    <w:rsid w:val="00874B4E"/>
    <w:rsid w:val="008E4364"/>
    <w:rsid w:val="009179CF"/>
    <w:rsid w:val="0093531F"/>
    <w:rsid w:val="00966F4E"/>
    <w:rsid w:val="009D4DAA"/>
    <w:rsid w:val="009F19E9"/>
    <w:rsid w:val="00A66C17"/>
    <w:rsid w:val="00A83091"/>
    <w:rsid w:val="00AE6144"/>
    <w:rsid w:val="00B130E2"/>
    <w:rsid w:val="00B5099B"/>
    <w:rsid w:val="00B7386D"/>
    <w:rsid w:val="00BA104E"/>
    <w:rsid w:val="00BC55A0"/>
    <w:rsid w:val="00C15B3E"/>
    <w:rsid w:val="00C60DF1"/>
    <w:rsid w:val="00CD3B64"/>
    <w:rsid w:val="00CD7B96"/>
    <w:rsid w:val="00CE2F29"/>
    <w:rsid w:val="00CE621D"/>
    <w:rsid w:val="00CF3168"/>
    <w:rsid w:val="00D27324"/>
    <w:rsid w:val="00D413D2"/>
    <w:rsid w:val="00D439C9"/>
    <w:rsid w:val="00D47D85"/>
    <w:rsid w:val="00D562C7"/>
    <w:rsid w:val="00DA12B9"/>
    <w:rsid w:val="00DC4613"/>
    <w:rsid w:val="00E054FD"/>
    <w:rsid w:val="00E258D8"/>
    <w:rsid w:val="00E52082"/>
    <w:rsid w:val="00E74659"/>
    <w:rsid w:val="00EE65C4"/>
    <w:rsid w:val="00EF6E71"/>
    <w:rsid w:val="00F03F37"/>
    <w:rsid w:val="00F04260"/>
    <w:rsid w:val="00F25A44"/>
    <w:rsid w:val="00F451AA"/>
    <w:rsid w:val="00F72679"/>
    <w:rsid w:val="00F77A80"/>
    <w:rsid w:val="00FA25D9"/>
    <w:rsid w:val="00FB4AAD"/>
    <w:rsid w:val="00FD087B"/>
    <w:rsid w:val="00FE1C8C"/>
    <w:rsid w:val="00FF1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E1B"/>
    <w:pPr>
      <w:ind w:left="720"/>
      <w:contextualSpacing/>
    </w:pPr>
  </w:style>
  <w:style w:type="character" w:styleId="Hyperlink">
    <w:name w:val="Hyperlink"/>
    <w:basedOn w:val="DefaultParagraphFont"/>
    <w:uiPriority w:val="99"/>
    <w:semiHidden/>
    <w:unhideWhenUsed/>
    <w:rsid w:val="009D4D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1A8D-1338-4E02-B5D1-DECAEE59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EJCS</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astrong</dc:creator>
  <cp:lastModifiedBy>Windows User</cp:lastModifiedBy>
  <cp:revision>3</cp:revision>
  <cp:lastPrinted>2014-02-18T20:01:00Z</cp:lastPrinted>
  <dcterms:created xsi:type="dcterms:W3CDTF">2014-11-10T14:09:00Z</dcterms:created>
  <dcterms:modified xsi:type="dcterms:W3CDTF">2014-11-10T14:10:00Z</dcterms:modified>
</cp:coreProperties>
</file>